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34AE" w:rsidRPr="00C15CD2" w:rsidRDefault="00C15CD2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LB"/>
        </w:rPr>
      </w:pPr>
      <w:r w:rsidRPr="00C15CD2">
        <w:rPr>
          <w:rFonts w:ascii="Simplified Arabic" w:hAnsi="Simplified Arabic" w:cs="Simplified Arabic" w:hint="cs"/>
          <w:b/>
          <w:bCs/>
          <w:sz w:val="32"/>
          <w:szCs w:val="32"/>
          <w:rtl/>
          <w:lang w:bidi="ar-LB"/>
        </w:rPr>
        <w:t xml:space="preserve">الجمهورية اللبنانية </w:t>
      </w:r>
    </w:p>
    <w:p w:rsidR="00C15CD2" w:rsidRPr="00C15CD2" w:rsidRDefault="00C15CD2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LB"/>
        </w:rPr>
      </w:pPr>
      <w:r w:rsidRPr="00C15CD2">
        <w:rPr>
          <w:rFonts w:ascii="Simplified Arabic" w:hAnsi="Simplified Arabic" w:cs="Simplified Arabic" w:hint="cs"/>
          <w:b/>
          <w:bCs/>
          <w:sz w:val="32"/>
          <w:szCs w:val="32"/>
          <w:rtl/>
          <w:lang w:bidi="ar-LB"/>
        </w:rPr>
        <w:t>وزارة الاشغال العامة والنقل</w:t>
      </w:r>
    </w:p>
    <w:p w:rsidR="00C15CD2" w:rsidRDefault="00C15CD2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LB"/>
        </w:rPr>
      </w:pPr>
      <w:r w:rsidRPr="00C15CD2">
        <w:rPr>
          <w:rFonts w:ascii="Simplified Arabic" w:hAnsi="Simplified Arabic" w:cs="Simplified Arabic" w:hint="cs"/>
          <w:b/>
          <w:bCs/>
          <w:sz w:val="32"/>
          <w:szCs w:val="32"/>
          <w:rtl/>
          <w:lang w:bidi="ar-LB"/>
        </w:rPr>
        <w:t xml:space="preserve">مصلحة استثمار مرفأ طرابلس </w:t>
      </w:r>
    </w:p>
    <w:p w:rsidR="00C15CD2" w:rsidRDefault="00C15CD2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LB"/>
        </w:rPr>
      </w:pPr>
    </w:p>
    <w:p w:rsidR="00C15CD2" w:rsidRDefault="00C15CD2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LB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LB"/>
        </w:rPr>
        <w:t xml:space="preserve">جدول تحليل الاسعار لأعمال المراقبة والإشراف على الانظمة المعلوماتية والبرامج الإلكترونية في حرم مرفأ طرابلس </w:t>
      </w:r>
    </w:p>
    <w:p w:rsidR="00C15CD2" w:rsidRDefault="00C15CD2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LB"/>
        </w:rPr>
      </w:pPr>
    </w:p>
    <w:tbl>
      <w:tblPr>
        <w:tblStyle w:val="TableGrid"/>
        <w:bidiVisual/>
        <w:tblW w:w="0" w:type="auto"/>
        <w:tblInd w:w="-188" w:type="dxa"/>
        <w:tblLook w:val="04A0" w:firstRow="1" w:lastRow="0" w:firstColumn="1" w:lastColumn="0" w:noHBand="0" w:noVBand="1"/>
      </w:tblPr>
      <w:tblGrid>
        <w:gridCol w:w="688"/>
        <w:gridCol w:w="3283"/>
        <w:gridCol w:w="1918"/>
        <w:gridCol w:w="1785"/>
        <w:gridCol w:w="1954"/>
        <w:gridCol w:w="1906"/>
        <w:gridCol w:w="1933"/>
      </w:tblGrid>
      <w:tr w:rsidR="00F0730D" w:rsidTr="00F0730D">
        <w:tc>
          <w:tcPr>
            <w:tcW w:w="688" w:type="dxa"/>
          </w:tcPr>
          <w:p w:rsidR="00F0730D" w:rsidRPr="00C15CD2" w:rsidRDefault="00F0730D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الرقم </w:t>
            </w:r>
          </w:p>
        </w:tc>
        <w:tc>
          <w:tcPr>
            <w:tcW w:w="3283" w:type="dxa"/>
          </w:tcPr>
          <w:p w:rsidR="00F0730D" w:rsidRPr="00C15CD2" w:rsidRDefault="00F0730D" w:rsidP="00C15CD2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  <w:r w:rsidRPr="00C15CD2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>نوع خدمة الاشراف</w:t>
            </w:r>
          </w:p>
          <w:p w:rsidR="00F0730D" w:rsidRPr="00C15CD2" w:rsidRDefault="00F0730D" w:rsidP="00C15CD2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  <w:r w:rsidRPr="00C15CD2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>(شهري )</w:t>
            </w:r>
          </w:p>
        </w:tc>
        <w:tc>
          <w:tcPr>
            <w:tcW w:w="1918" w:type="dxa"/>
          </w:tcPr>
          <w:p w:rsidR="00F0730D" w:rsidRPr="00C15CD2" w:rsidRDefault="00F0730D" w:rsidP="00F0730D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 xml:space="preserve">الأجر </w:t>
            </w:r>
            <w:r w:rsidRPr="00C15CD2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>الشهري /$</w:t>
            </w:r>
          </w:p>
        </w:tc>
        <w:tc>
          <w:tcPr>
            <w:tcW w:w="1785" w:type="dxa"/>
          </w:tcPr>
          <w:p w:rsidR="00F0730D" w:rsidRPr="00C15CD2" w:rsidRDefault="00F0730D" w:rsidP="00C15CD2">
            <w:pPr>
              <w:jc w:val="center"/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>تعويض النقل المؤقت</w:t>
            </w:r>
            <w:bookmarkStart w:id="0" w:name="_GoBack"/>
            <w:bookmarkEnd w:id="0"/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>/$</w:t>
            </w:r>
          </w:p>
        </w:tc>
        <w:tc>
          <w:tcPr>
            <w:tcW w:w="1954" w:type="dxa"/>
          </w:tcPr>
          <w:p w:rsidR="00F0730D" w:rsidRPr="00C15CD2" w:rsidRDefault="00F0730D" w:rsidP="00C15CD2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  <w:r w:rsidRPr="00C15CD2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>مصاريف إدارية /$</w:t>
            </w:r>
          </w:p>
        </w:tc>
        <w:tc>
          <w:tcPr>
            <w:tcW w:w="1906" w:type="dxa"/>
          </w:tcPr>
          <w:p w:rsidR="00F0730D" w:rsidRPr="00C15CD2" w:rsidRDefault="00F0730D" w:rsidP="00C15CD2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  <w:r w:rsidRPr="00C15CD2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>أرباح وهوالك /$</w:t>
            </w:r>
          </w:p>
        </w:tc>
        <w:tc>
          <w:tcPr>
            <w:tcW w:w="1933" w:type="dxa"/>
          </w:tcPr>
          <w:p w:rsidR="00F0730D" w:rsidRPr="00C15CD2" w:rsidRDefault="00F0730D" w:rsidP="00C15CD2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  <w:r w:rsidRPr="00C15CD2"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>المجموع /$</w:t>
            </w:r>
          </w:p>
        </w:tc>
      </w:tr>
      <w:tr w:rsidR="00F0730D" w:rsidTr="00F0730D">
        <w:tc>
          <w:tcPr>
            <w:tcW w:w="688" w:type="dxa"/>
          </w:tcPr>
          <w:p w:rsidR="00F0730D" w:rsidRDefault="00F0730D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>1</w:t>
            </w:r>
          </w:p>
        </w:tc>
        <w:tc>
          <w:tcPr>
            <w:tcW w:w="3283" w:type="dxa"/>
          </w:tcPr>
          <w:p w:rsidR="00F0730D" w:rsidRPr="00C15CD2" w:rsidRDefault="00F0730D" w:rsidP="00C15CD2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 xml:space="preserve">إشراف مهندس معلوماتية  </w:t>
            </w:r>
          </w:p>
        </w:tc>
        <w:tc>
          <w:tcPr>
            <w:tcW w:w="1918" w:type="dxa"/>
          </w:tcPr>
          <w:p w:rsidR="00F0730D" w:rsidRPr="00C15CD2" w:rsidRDefault="00F0730D" w:rsidP="00C15CD2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</w:p>
        </w:tc>
        <w:tc>
          <w:tcPr>
            <w:tcW w:w="1785" w:type="dxa"/>
          </w:tcPr>
          <w:p w:rsidR="00F0730D" w:rsidRPr="00C15CD2" w:rsidRDefault="00F0730D" w:rsidP="00C15CD2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</w:p>
        </w:tc>
        <w:tc>
          <w:tcPr>
            <w:tcW w:w="1954" w:type="dxa"/>
          </w:tcPr>
          <w:p w:rsidR="00F0730D" w:rsidRPr="00C15CD2" w:rsidRDefault="00F0730D" w:rsidP="00C15CD2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</w:p>
        </w:tc>
        <w:tc>
          <w:tcPr>
            <w:tcW w:w="1906" w:type="dxa"/>
          </w:tcPr>
          <w:p w:rsidR="00F0730D" w:rsidRPr="00C15CD2" w:rsidRDefault="00F0730D" w:rsidP="00C15CD2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</w:p>
        </w:tc>
        <w:tc>
          <w:tcPr>
            <w:tcW w:w="1933" w:type="dxa"/>
          </w:tcPr>
          <w:p w:rsidR="00F0730D" w:rsidRPr="00C15CD2" w:rsidRDefault="00F0730D" w:rsidP="00C15CD2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</w:p>
        </w:tc>
      </w:tr>
      <w:tr w:rsidR="00F0730D" w:rsidTr="00F0730D">
        <w:tc>
          <w:tcPr>
            <w:tcW w:w="688" w:type="dxa"/>
          </w:tcPr>
          <w:p w:rsidR="00F0730D" w:rsidRDefault="00F0730D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>2</w:t>
            </w:r>
          </w:p>
        </w:tc>
        <w:tc>
          <w:tcPr>
            <w:tcW w:w="3283" w:type="dxa"/>
          </w:tcPr>
          <w:p w:rsidR="00F0730D" w:rsidRDefault="00F0730D" w:rsidP="00C15CD2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 xml:space="preserve">إشراف فني معلوماتية </w:t>
            </w:r>
          </w:p>
        </w:tc>
        <w:tc>
          <w:tcPr>
            <w:tcW w:w="1918" w:type="dxa"/>
          </w:tcPr>
          <w:p w:rsidR="00F0730D" w:rsidRPr="00C15CD2" w:rsidRDefault="00F0730D" w:rsidP="00C15CD2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</w:p>
        </w:tc>
        <w:tc>
          <w:tcPr>
            <w:tcW w:w="1785" w:type="dxa"/>
          </w:tcPr>
          <w:p w:rsidR="00F0730D" w:rsidRPr="00C15CD2" w:rsidRDefault="00F0730D" w:rsidP="00C15CD2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</w:p>
        </w:tc>
        <w:tc>
          <w:tcPr>
            <w:tcW w:w="1954" w:type="dxa"/>
          </w:tcPr>
          <w:p w:rsidR="00F0730D" w:rsidRPr="00C15CD2" w:rsidRDefault="00F0730D" w:rsidP="00C15CD2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</w:p>
        </w:tc>
        <w:tc>
          <w:tcPr>
            <w:tcW w:w="1906" w:type="dxa"/>
          </w:tcPr>
          <w:p w:rsidR="00F0730D" w:rsidRPr="00C15CD2" w:rsidRDefault="00F0730D" w:rsidP="00C15CD2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</w:p>
        </w:tc>
        <w:tc>
          <w:tcPr>
            <w:tcW w:w="1933" w:type="dxa"/>
          </w:tcPr>
          <w:p w:rsidR="00F0730D" w:rsidRPr="00C15CD2" w:rsidRDefault="00F0730D" w:rsidP="00C15CD2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</w:p>
        </w:tc>
      </w:tr>
      <w:tr w:rsidR="00F0730D" w:rsidTr="00F0730D">
        <w:tc>
          <w:tcPr>
            <w:tcW w:w="688" w:type="dxa"/>
          </w:tcPr>
          <w:p w:rsidR="00F0730D" w:rsidRDefault="00F0730D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>3</w:t>
            </w:r>
          </w:p>
        </w:tc>
        <w:tc>
          <w:tcPr>
            <w:tcW w:w="3283" w:type="dxa"/>
          </w:tcPr>
          <w:p w:rsidR="00F0730D" w:rsidRDefault="00F0730D" w:rsidP="00C15CD2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 xml:space="preserve">إشراف فني معلوماتية إدارية </w:t>
            </w:r>
          </w:p>
        </w:tc>
        <w:tc>
          <w:tcPr>
            <w:tcW w:w="1918" w:type="dxa"/>
          </w:tcPr>
          <w:p w:rsidR="00F0730D" w:rsidRPr="00C15CD2" w:rsidRDefault="00F0730D" w:rsidP="00C15CD2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</w:p>
        </w:tc>
        <w:tc>
          <w:tcPr>
            <w:tcW w:w="1785" w:type="dxa"/>
          </w:tcPr>
          <w:p w:rsidR="00F0730D" w:rsidRPr="00C15CD2" w:rsidRDefault="00F0730D" w:rsidP="00C15CD2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</w:p>
        </w:tc>
        <w:tc>
          <w:tcPr>
            <w:tcW w:w="1954" w:type="dxa"/>
          </w:tcPr>
          <w:p w:rsidR="00F0730D" w:rsidRPr="00C15CD2" w:rsidRDefault="00F0730D" w:rsidP="00C15CD2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</w:p>
        </w:tc>
        <w:tc>
          <w:tcPr>
            <w:tcW w:w="1906" w:type="dxa"/>
          </w:tcPr>
          <w:p w:rsidR="00F0730D" w:rsidRPr="00C15CD2" w:rsidRDefault="00F0730D" w:rsidP="00C15CD2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</w:p>
        </w:tc>
        <w:tc>
          <w:tcPr>
            <w:tcW w:w="1933" w:type="dxa"/>
          </w:tcPr>
          <w:p w:rsidR="00F0730D" w:rsidRPr="00C15CD2" w:rsidRDefault="00F0730D" w:rsidP="00C15CD2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</w:p>
        </w:tc>
      </w:tr>
      <w:tr w:rsidR="00F0730D" w:rsidTr="00F0730D">
        <w:tc>
          <w:tcPr>
            <w:tcW w:w="688" w:type="dxa"/>
          </w:tcPr>
          <w:p w:rsidR="00F0730D" w:rsidRDefault="00F0730D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>4</w:t>
            </w:r>
          </w:p>
        </w:tc>
        <w:tc>
          <w:tcPr>
            <w:tcW w:w="3283" w:type="dxa"/>
          </w:tcPr>
          <w:p w:rsidR="00F0730D" w:rsidRDefault="00F0730D" w:rsidP="00C15CD2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>إشراف فني محاسبة معلوماتية</w:t>
            </w:r>
          </w:p>
        </w:tc>
        <w:tc>
          <w:tcPr>
            <w:tcW w:w="1918" w:type="dxa"/>
          </w:tcPr>
          <w:p w:rsidR="00F0730D" w:rsidRPr="00C15CD2" w:rsidRDefault="00F0730D" w:rsidP="00C15CD2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</w:p>
        </w:tc>
        <w:tc>
          <w:tcPr>
            <w:tcW w:w="1785" w:type="dxa"/>
          </w:tcPr>
          <w:p w:rsidR="00F0730D" w:rsidRPr="00C15CD2" w:rsidRDefault="00F0730D" w:rsidP="00C15CD2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</w:p>
        </w:tc>
        <w:tc>
          <w:tcPr>
            <w:tcW w:w="1954" w:type="dxa"/>
          </w:tcPr>
          <w:p w:rsidR="00F0730D" w:rsidRPr="00C15CD2" w:rsidRDefault="00F0730D" w:rsidP="00C15CD2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</w:p>
        </w:tc>
        <w:tc>
          <w:tcPr>
            <w:tcW w:w="1906" w:type="dxa"/>
          </w:tcPr>
          <w:p w:rsidR="00F0730D" w:rsidRPr="00C15CD2" w:rsidRDefault="00F0730D" w:rsidP="00C15CD2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</w:p>
        </w:tc>
        <w:tc>
          <w:tcPr>
            <w:tcW w:w="1933" w:type="dxa"/>
          </w:tcPr>
          <w:p w:rsidR="00F0730D" w:rsidRPr="00C15CD2" w:rsidRDefault="00F0730D" w:rsidP="00C15CD2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</w:p>
        </w:tc>
      </w:tr>
      <w:tr w:rsidR="00F0730D" w:rsidTr="00F0730D">
        <w:tc>
          <w:tcPr>
            <w:tcW w:w="688" w:type="dxa"/>
          </w:tcPr>
          <w:p w:rsidR="00F0730D" w:rsidRDefault="00F0730D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>5</w:t>
            </w:r>
          </w:p>
        </w:tc>
        <w:tc>
          <w:tcPr>
            <w:tcW w:w="3283" w:type="dxa"/>
          </w:tcPr>
          <w:p w:rsidR="00F0730D" w:rsidRDefault="00F0730D" w:rsidP="00C15CD2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LB"/>
              </w:rPr>
              <w:t xml:space="preserve">إشراف فني أرشفة </w:t>
            </w:r>
          </w:p>
        </w:tc>
        <w:tc>
          <w:tcPr>
            <w:tcW w:w="1918" w:type="dxa"/>
          </w:tcPr>
          <w:p w:rsidR="00F0730D" w:rsidRPr="00C15CD2" w:rsidRDefault="00F0730D" w:rsidP="00C15CD2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</w:p>
        </w:tc>
        <w:tc>
          <w:tcPr>
            <w:tcW w:w="1785" w:type="dxa"/>
          </w:tcPr>
          <w:p w:rsidR="00F0730D" w:rsidRPr="00C15CD2" w:rsidRDefault="00F0730D" w:rsidP="00C15CD2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</w:p>
        </w:tc>
        <w:tc>
          <w:tcPr>
            <w:tcW w:w="1954" w:type="dxa"/>
          </w:tcPr>
          <w:p w:rsidR="00F0730D" w:rsidRPr="00C15CD2" w:rsidRDefault="00F0730D" w:rsidP="00C15CD2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</w:p>
        </w:tc>
        <w:tc>
          <w:tcPr>
            <w:tcW w:w="1906" w:type="dxa"/>
          </w:tcPr>
          <w:p w:rsidR="00F0730D" w:rsidRPr="00C15CD2" w:rsidRDefault="00F0730D" w:rsidP="00C15CD2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</w:p>
        </w:tc>
        <w:tc>
          <w:tcPr>
            <w:tcW w:w="1933" w:type="dxa"/>
          </w:tcPr>
          <w:p w:rsidR="00F0730D" w:rsidRPr="00C15CD2" w:rsidRDefault="00F0730D" w:rsidP="00C15CD2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LB"/>
              </w:rPr>
            </w:pPr>
          </w:p>
        </w:tc>
      </w:tr>
    </w:tbl>
    <w:p w:rsidR="00C15CD2" w:rsidRDefault="00C15CD2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LB"/>
        </w:rPr>
      </w:pPr>
    </w:p>
    <w:p w:rsidR="00C15CD2" w:rsidRDefault="00C15CD2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LB"/>
        </w:rPr>
      </w:pPr>
    </w:p>
    <w:p w:rsidR="00C15CD2" w:rsidRDefault="00C15CD2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LB"/>
        </w:rPr>
      </w:pPr>
      <w:r>
        <w:rPr>
          <w:rFonts w:ascii="Simplified Arabic" w:hAnsi="Simplified Arabic" w:cs="Simplified Arabic"/>
          <w:b/>
          <w:bCs/>
          <w:sz w:val="32"/>
          <w:szCs w:val="32"/>
          <w:rtl/>
          <w:lang w:bidi="ar-LB"/>
        </w:rPr>
        <w:tab/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LB"/>
        </w:rPr>
        <w:tab/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LB"/>
        </w:rPr>
        <w:tab/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LB"/>
        </w:rPr>
        <w:tab/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LB"/>
        </w:rPr>
        <w:tab/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LB"/>
        </w:rPr>
        <w:tab/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LB"/>
        </w:rPr>
        <w:tab/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LB"/>
        </w:rPr>
        <w:tab/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LB"/>
        </w:rPr>
        <w:tab/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LB"/>
        </w:rPr>
        <w:tab/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LB"/>
        </w:rPr>
        <w:tab/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LB"/>
        </w:rPr>
        <w:tab/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LB"/>
        </w:rPr>
        <w:tab/>
      </w:r>
      <w:r>
        <w:rPr>
          <w:rFonts w:ascii="Simplified Arabic" w:hAnsi="Simplified Arabic" w:cs="Simplified Arabic"/>
          <w:b/>
          <w:bCs/>
          <w:sz w:val="32"/>
          <w:szCs w:val="32"/>
          <w:rtl/>
          <w:lang w:bidi="ar-LB"/>
        </w:rPr>
        <w:tab/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LB"/>
        </w:rPr>
        <w:t xml:space="preserve">توقيع العارض </w:t>
      </w:r>
    </w:p>
    <w:p w:rsidR="00C15CD2" w:rsidRPr="00C15CD2" w:rsidRDefault="00C15CD2">
      <w:pPr>
        <w:rPr>
          <w:rFonts w:ascii="Simplified Arabic" w:hAnsi="Simplified Arabic" w:cs="Simplified Arabic"/>
          <w:sz w:val="28"/>
          <w:szCs w:val="28"/>
          <w:rtl/>
          <w:lang w:bidi="ar-LB"/>
        </w:rPr>
      </w:pPr>
      <w:r w:rsidRPr="00C15CD2">
        <w:rPr>
          <w:rFonts w:ascii="Simplified Arabic" w:hAnsi="Simplified Arabic" w:cs="Simplified Arabic" w:hint="cs"/>
          <w:sz w:val="28"/>
          <w:szCs w:val="28"/>
          <w:rtl/>
          <w:lang w:bidi="ar-LB"/>
        </w:rPr>
        <w:t xml:space="preserve">إن تحليل الاسعار لا يتضمن الضريبة على القيمة المضافة </w:t>
      </w:r>
    </w:p>
    <w:sectPr w:rsidR="00C15CD2" w:rsidRPr="00C15CD2" w:rsidSect="00C15CD2">
      <w:pgSz w:w="15840" w:h="12240" w:orient="landscape"/>
      <w:pgMar w:top="1077" w:right="1474" w:bottom="1134" w:left="107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CD2"/>
    <w:rsid w:val="0059705A"/>
    <w:rsid w:val="00760BAF"/>
    <w:rsid w:val="00A234AE"/>
    <w:rsid w:val="00C15CD2"/>
    <w:rsid w:val="00F0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D222DA8-BFCE-48B9-987A-2CB362A26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0BAF"/>
    <w:pPr>
      <w:bidi/>
    </w:pPr>
    <w:rPr>
      <w:rFonts w:cs="Traditional Arabic"/>
      <w:noProof/>
      <w:lang w:eastAsia="ar-SA"/>
    </w:rPr>
  </w:style>
  <w:style w:type="paragraph" w:styleId="Heading2">
    <w:name w:val="heading 2"/>
    <w:basedOn w:val="Normal"/>
    <w:next w:val="Normal"/>
    <w:link w:val="Heading2Char"/>
    <w:qFormat/>
    <w:rsid w:val="00760BAF"/>
    <w:pPr>
      <w:keepNext/>
      <w:spacing w:before="240" w:after="60"/>
      <w:outlineLvl w:val="1"/>
    </w:pPr>
    <w:rPr>
      <w:rFonts w:ascii="Arial" w:hAnsi="Arial" w:cs="Arial"/>
      <w:b/>
      <w:bCs/>
      <w:i/>
      <w:iCs/>
      <w:noProof w:val="0"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0BA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60BAF"/>
    <w:pPr>
      <w:keepNext/>
      <w:spacing w:before="240" w:after="60"/>
      <w:outlineLvl w:val="3"/>
    </w:pPr>
    <w:rPr>
      <w:rFonts w:cs="Times New Roman"/>
      <w:b/>
      <w:bCs/>
      <w:noProof w:val="0"/>
      <w:sz w:val="28"/>
      <w:szCs w:val="28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760BAF"/>
    <w:pPr>
      <w:spacing w:before="240" w:after="60"/>
      <w:outlineLvl w:val="5"/>
    </w:pPr>
    <w:rPr>
      <w:rFonts w:cs="Times New Roman"/>
      <w:b/>
      <w:bCs/>
      <w:noProof w:val="0"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760BAF"/>
    <w:pPr>
      <w:keepNext/>
      <w:jc w:val="center"/>
      <w:outlineLvl w:val="6"/>
    </w:pPr>
    <w:rPr>
      <w:rFonts w:cs="Times New Roman"/>
      <w:noProof w:val="0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60BAF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760BAF"/>
    <w:rPr>
      <w:b/>
      <w:bCs/>
      <w:sz w:val="28"/>
      <w:szCs w:val="28"/>
    </w:rPr>
  </w:style>
  <w:style w:type="character" w:customStyle="1" w:styleId="Heading6Char">
    <w:name w:val="Heading 6 Char"/>
    <w:link w:val="Heading6"/>
    <w:rsid w:val="00760BAF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760BAF"/>
    <w:rPr>
      <w:szCs w:val="28"/>
    </w:rPr>
  </w:style>
  <w:style w:type="paragraph" w:styleId="ListParagraph">
    <w:name w:val="List Paragraph"/>
    <w:aliases w:val="List - Numbered"/>
    <w:basedOn w:val="Normal"/>
    <w:link w:val="ListParagraphChar"/>
    <w:uiPriority w:val="34"/>
    <w:qFormat/>
    <w:rsid w:val="00760BAF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0BAF"/>
    <w:rPr>
      <w:rFonts w:asciiTheme="majorHAnsi" w:eastAsiaTheme="majorEastAsia" w:hAnsiTheme="majorHAnsi" w:cstheme="majorBidi"/>
      <w:noProof/>
      <w:color w:val="1F4D78" w:themeColor="accent1" w:themeShade="7F"/>
      <w:sz w:val="24"/>
      <w:szCs w:val="24"/>
      <w:lang w:eastAsia="ar-SA"/>
    </w:rPr>
  </w:style>
  <w:style w:type="character" w:customStyle="1" w:styleId="ListParagraphChar">
    <w:name w:val="List Paragraph Char"/>
    <w:aliases w:val="List - Numbered Char"/>
    <w:basedOn w:val="DefaultParagraphFont"/>
    <w:link w:val="ListParagraph"/>
    <w:uiPriority w:val="34"/>
    <w:locked/>
    <w:rsid w:val="00760BAF"/>
    <w:rPr>
      <w:rFonts w:ascii="Calibri" w:eastAsia="Calibri" w:hAnsi="Calibri" w:cs="Arial"/>
      <w:noProof/>
      <w:sz w:val="22"/>
      <w:szCs w:val="22"/>
      <w:lang w:eastAsia="ar-SA"/>
    </w:rPr>
  </w:style>
  <w:style w:type="table" w:styleId="TableGrid">
    <w:name w:val="Table Grid"/>
    <w:basedOn w:val="TableNormal"/>
    <w:uiPriority w:val="39"/>
    <w:rsid w:val="00C15C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073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730D"/>
    <w:rPr>
      <w:rFonts w:ascii="Segoe UI" w:hAnsi="Segoe UI" w:cs="Segoe UI"/>
      <w:noProof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2024-09-17T06:41:00Z</cp:lastPrinted>
  <dcterms:created xsi:type="dcterms:W3CDTF">2023-11-01T07:51:00Z</dcterms:created>
  <dcterms:modified xsi:type="dcterms:W3CDTF">2024-09-17T06:41:00Z</dcterms:modified>
</cp:coreProperties>
</file>